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74" w:rsidRDefault="00E26690" w:rsidP="001A6A64">
      <w:bookmarkStart w:id="0" w:name="Date_Created"/>
      <w:r>
        <w:t>7 November 2017</w:t>
      </w:r>
      <w:bookmarkEnd w:id="0"/>
    </w:p>
    <w:p w:rsidR="00EC20E0" w:rsidRDefault="00341D66" w:rsidP="001A6A64"/>
    <w:p w:rsidR="00FE1B44" w:rsidRDefault="00341D66" w:rsidP="001A6A64">
      <w:bookmarkStart w:id="1" w:name="Blank3"/>
    </w:p>
    <w:p w:rsidR="003E469D" w:rsidRDefault="00341D66" w:rsidP="001A6A64">
      <w:bookmarkStart w:id="2" w:name="Blank2"/>
      <w:bookmarkEnd w:id="1"/>
    </w:p>
    <w:p w:rsidR="003E469D" w:rsidRDefault="00341D66" w:rsidP="001A6A64">
      <w:bookmarkStart w:id="3" w:name="Blank1"/>
      <w:bookmarkEnd w:id="2"/>
    </w:p>
    <w:p w:rsidR="009C230F" w:rsidRDefault="00E26690" w:rsidP="001A6A64">
      <w:bookmarkStart w:id="4" w:name="AddressBlock"/>
      <w:bookmarkEnd w:id="3"/>
      <w:r>
        <w:t>Resident</w:t>
      </w:r>
      <w:r>
        <w:br/>
        <w:t>    </w:t>
      </w:r>
      <w:bookmarkEnd w:id="4"/>
    </w:p>
    <w:p w:rsidR="009C230F" w:rsidRDefault="00341D66" w:rsidP="001A6A64"/>
    <w:p w:rsidR="00560A9D" w:rsidRDefault="00341D66" w:rsidP="001A6A64"/>
    <w:p w:rsidR="00320F49" w:rsidRPr="006A3523" w:rsidRDefault="00341D66" w:rsidP="001A6A64"/>
    <w:p w:rsidR="001A6A64" w:rsidRDefault="00E26690" w:rsidP="001A6A64">
      <w:r>
        <w:t xml:space="preserve">Dear </w:t>
      </w:r>
      <w:bookmarkStart w:id="5" w:name="AddresseeFirstName"/>
      <w:r>
        <w:t xml:space="preserve">Resident </w:t>
      </w:r>
      <w:bookmarkEnd w:id="5"/>
    </w:p>
    <w:p w:rsidR="001A6A64" w:rsidRDefault="00341D66" w:rsidP="001A6A64"/>
    <w:p w:rsidR="001A6A64" w:rsidRPr="00A07826" w:rsidRDefault="00E26690" w:rsidP="001A6A64">
      <w:pPr>
        <w:rPr>
          <w:b/>
        </w:rPr>
      </w:pPr>
      <w:bookmarkStart w:id="6" w:name="Subject"/>
      <w:r>
        <w:rPr>
          <w:b/>
        </w:rPr>
        <w:t xml:space="preserve">Consultation Outcome - St Clair – Open Space Dog Leash Review </w:t>
      </w:r>
      <w:bookmarkEnd w:id="6"/>
    </w:p>
    <w:p w:rsidR="001A6A64" w:rsidRDefault="00341D66" w:rsidP="001A6A64"/>
    <w:p w:rsidR="001A6A64" w:rsidRDefault="00E26690" w:rsidP="007A20B3">
      <w:pPr>
        <w:tabs>
          <w:tab w:val="left" w:pos="709"/>
        </w:tabs>
        <w:rPr>
          <w:szCs w:val="22"/>
        </w:rPr>
      </w:pPr>
      <w:bookmarkStart w:id="7" w:name="Body"/>
      <w:r>
        <w:t>I write to you as a resident of St Clair to update you on the consultation that we undertook between 5 June and 25 June of 2017 regarding the open space dog leash laws within St Clair reserves (see enclosed map for exact location). The survey was sent to all occupied residential properties within St Clair as well as being available on the Council YourSay website.</w:t>
      </w:r>
    </w:p>
    <w:p w:rsidR="001A6A64" w:rsidRDefault="00E26690" w:rsidP="007A20B3">
      <w:pPr>
        <w:tabs>
          <w:tab w:val="left" w:pos="709"/>
        </w:tabs>
        <w:rPr>
          <w:szCs w:val="22"/>
        </w:rPr>
      </w:pPr>
      <w:r>
        <w:t>The survey results are summarised below:</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701"/>
        <w:gridCol w:w="1687"/>
        <w:gridCol w:w="1686"/>
        <w:gridCol w:w="1849"/>
        <w:gridCol w:w="1617"/>
      </w:tblGrid>
      <w:tr w:rsidR="006A04A3">
        <w:trPr>
          <w:tblCellSpacing w:w="15" w:type="dxa"/>
        </w:trPr>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 xml:space="preserve">Reserve </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Support for on lead</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 xml:space="preserve">Support for off lead </w:t>
            </w:r>
          </w:p>
        </w:tc>
        <w:tc>
          <w:tcPr>
            <w:tcW w:w="2010" w:type="dxa"/>
            <w:tcMar>
              <w:top w:w="15" w:type="dxa"/>
              <w:left w:w="15" w:type="dxa"/>
              <w:bottom w:w="15" w:type="dxa"/>
              <w:right w:w="15" w:type="dxa"/>
            </w:tcMar>
            <w:vAlign w:val="center"/>
          </w:tcPr>
          <w:p w:rsidR="001A6A64" w:rsidRDefault="00E26690" w:rsidP="007A20B3">
            <w:pPr>
              <w:tabs>
                <w:tab w:val="left" w:pos="709"/>
              </w:tabs>
              <w:rPr>
                <w:szCs w:val="22"/>
              </w:rPr>
            </w:pPr>
            <w:r>
              <w:rPr>
                <w:b/>
                <w:bCs/>
              </w:rPr>
              <w:t>Support for dog free (prohibited)</w:t>
            </w:r>
          </w:p>
        </w:tc>
        <w:tc>
          <w:tcPr>
            <w:tcW w:w="1680" w:type="dxa"/>
            <w:tcMar>
              <w:top w:w="15" w:type="dxa"/>
              <w:left w:w="15" w:type="dxa"/>
              <w:bottom w:w="15" w:type="dxa"/>
              <w:right w:w="15" w:type="dxa"/>
            </w:tcMar>
            <w:vAlign w:val="center"/>
          </w:tcPr>
          <w:p w:rsidR="001A6A64" w:rsidRDefault="00E26690" w:rsidP="007A20B3">
            <w:pPr>
              <w:tabs>
                <w:tab w:val="left" w:pos="709"/>
              </w:tabs>
              <w:rPr>
                <w:szCs w:val="22"/>
              </w:rPr>
            </w:pPr>
            <w:r>
              <w:rPr>
                <w:b/>
                <w:bCs/>
              </w:rPr>
              <w:t xml:space="preserve">Support for a combination of different times </w:t>
            </w:r>
          </w:p>
        </w:tc>
      </w:tr>
      <w:tr w:rsidR="006A04A3">
        <w:trPr>
          <w:tblCellSpacing w:w="15" w:type="dxa"/>
        </w:trPr>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St Clair Oval 4</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51(29%)</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87 (49%)</w:t>
            </w:r>
          </w:p>
        </w:tc>
        <w:tc>
          <w:tcPr>
            <w:tcW w:w="2010" w:type="dxa"/>
            <w:tcMar>
              <w:top w:w="15" w:type="dxa"/>
              <w:left w:w="15" w:type="dxa"/>
              <w:bottom w:w="15" w:type="dxa"/>
              <w:right w:w="15" w:type="dxa"/>
            </w:tcMar>
            <w:vAlign w:val="center"/>
          </w:tcPr>
          <w:p w:rsidR="001A6A64" w:rsidRDefault="00E26690" w:rsidP="007A20B3">
            <w:pPr>
              <w:tabs>
                <w:tab w:val="left" w:pos="709"/>
              </w:tabs>
              <w:rPr>
                <w:szCs w:val="22"/>
              </w:rPr>
            </w:pPr>
            <w:r>
              <w:t>22 (12%)</w:t>
            </w:r>
          </w:p>
        </w:tc>
        <w:tc>
          <w:tcPr>
            <w:tcW w:w="1680" w:type="dxa"/>
            <w:tcMar>
              <w:top w:w="15" w:type="dxa"/>
              <w:left w:w="15" w:type="dxa"/>
              <w:bottom w:w="15" w:type="dxa"/>
              <w:right w:w="15" w:type="dxa"/>
            </w:tcMar>
            <w:vAlign w:val="center"/>
          </w:tcPr>
          <w:p w:rsidR="001A6A64" w:rsidRDefault="00E26690" w:rsidP="007A20B3">
            <w:pPr>
              <w:tabs>
                <w:tab w:val="left" w:pos="709"/>
              </w:tabs>
              <w:rPr>
                <w:szCs w:val="22"/>
              </w:rPr>
            </w:pPr>
            <w:r>
              <w:t>16 (9%)</w:t>
            </w:r>
          </w:p>
        </w:tc>
      </w:tr>
      <w:tr w:rsidR="006A04A3">
        <w:trPr>
          <w:tblCellSpacing w:w="15" w:type="dxa"/>
        </w:trPr>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 xml:space="preserve">St Clair Oval 3 </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55 (39%)</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39 (28%)</w:t>
            </w:r>
          </w:p>
        </w:tc>
        <w:tc>
          <w:tcPr>
            <w:tcW w:w="2010" w:type="dxa"/>
            <w:tcMar>
              <w:top w:w="15" w:type="dxa"/>
              <w:left w:w="15" w:type="dxa"/>
              <w:bottom w:w="15" w:type="dxa"/>
              <w:right w:w="15" w:type="dxa"/>
            </w:tcMar>
            <w:vAlign w:val="center"/>
          </w:tcPr>
          <w:p w:rsidR="001A6A64" w:rsidRDefault="00E26690" w:rsidP="007A20B3">
            <w:pPr>
              <w:tabs>
                <w:tab w:val="left" w:pos="709"/>
              </w:tabs>
              <w:rPr>
                <w:szCs w:val="22"/>
              </w:rPr>
            </w:pPr>
            <w:r>
              <w:t>26 (18%)</w:t>
            </w:r>
          </w:p>
        </w:tc>
        <w:tc>
          <w:tcPr>
            <w:tcW w:w="1680" w:type="dxa"/>
            <w:tcMar>
              <w:top w:w="15" w:type="dxa"/>
              <w:left w:w="15" w:type="dxa"/>
              <w:bottom w:w="15" w:type="dxa"/>
              <w:right w:w="15" w:type="dxa"/>
            </w:tcMar>
            <w:vAlign w:val="center"/>
          </w:tcPr>
          <w:p w:rsidR="001A6A64" w:rsidRDefault="00E26690" w:rsidP="007A20B3">
            <w:pPr>
              <w:tabs>
                <w:tab w:val="left" w:pos="709"/>
              </w:tabs>
              <w:rPr>
                <w:szCs w:val="22"/>
              </w:rPr>
            </w:pPr>
            <w:r>
              <w:t>19 (13%)</w:t>
            </w:r>
          </w:p>
        </w:tc>
      </w:tr>
      <w:tr w:rsidR="006A04A3">
        <w:trPr>
          <w:tblCellSpacing w:w="15" w:type="dxa"/>
        </w:trPr>
        <w:tc>
          <w:tcPr>
            <w:tcW w:w="1905" w:type="dxa"/>
            <w:tcMar>
              <w:top w:w="15" w:type="dxa"/>
              <w:left w:w="15" w:type="dxa"/>
              <w:bottom w:w="15" w:type="dxa"/>
              <w:right w:w="15" w:type="dxa"/>
            </w:tcMar>
            <w:vAlign w:val="center"/>
          </w:tcPr>
          <w:p w:rsidR="001A6A64" w:rsidRDefault="00E26690" w:rsidP="007A20B3">
            <w:pPr>
              <w:tabs>
                <w:tab w:val="left" w:pos="709"/>
              </w:tabs>
              <w:rPr>
                <w:szCs w:val="22"/>
              </w:rPr>
            </w:pPr>
            <w:r>
              <w:rPr>
                <w:b/>
                <w:bCs/>
              </w:rPr>
              <w:t>St Clair Oval 2</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48 (34%)</w:t>
            </w:r>
          </w:p>
        </w:tc>
        <w:tc>
          <w:tcPr>
            <w:tcW w:w="1905" w:type="dxa"/>
            <w:tcMar>
              <w:top w:w="15" w:type="dxa"/>
              <w:left w:w="15" w:type="dxa"/>
              <w:bottom w:w="15" w:type="dxa"/>
              <w:right w:w="15" w:type="dxa"/>
            </w:tcMar>
            <w:vAlign w:val="center"/>
          </w:tcPr>
          <w:p w:rsidR="001A6A64" w:rsidRDefault="00E26690" w:rsidP="007A20B3">
            <w:pPr>
              <w:tabs>
                <w:tab w:val="left" w:pos="709"/>
              </w:tabs>
              <w:rPr>
                <w:szCs w:val="22"/>
              </w:rPr>
            </w:pPr>
            <w:r>
              <w:t>60 (43%)</w:t>
            </w:r>
          </w:p>
        </w:tc>
        <w:tc>
          <w:tcPr>
            <w:tcW w:w="2010" w:type="dxa"/>
            <w:tcMar>
              <w:top w:w="15" w:type="dxa"/>
              <w:left w:w="15" w:type="dxa"/>
              <w:bottom w:w="15" w:type="dxa"/>
              <w:right w:w="15" w:type="dxa"/>
            </w:tcMar>
            <w:vAlign w:val="center"/>
          </w:tcPr>
          <w:p w:rsidR="001A6A64" w:rsidRDefault="00E26690" w:rsidP="007A20B3">
            <w:pPr>
              <w:tabs>
                <w:tab w:val="left" w:pos="709"/>
              </w:tabs>
              <w:rPr>
                <w:szCs w:val="22"/>
              </w:rPr>
            </w:pPr>
            <w:r>
              <w:t>17 (12%)</w:t>
            </w:r>
          </w:p>
        </w:tc>
        <w:tc>
          <w:tcPr>
            <w:tcW w:w="1680" w:type="dxa"/>
            <w:tcMar>
              <w:top w:w="15" w:type="dxa"/>
              <w:left w:w="15" w:type="dxa"/>
              <w:bottom w:w="15" w:type="dxa"/>
              <w:right w:w="15" w:type="dxa"/>
            </w:tcMar>
            <w:vAlign w:val="center"/>
          </w:tcPr>
          <w:p w:rsidR="001A6A64" w:rsidRDefault="00E26690" w:rsidP="007A20B3">
            <w:pPr>
              <w:tabs>
                <w:tab w:val="left" w:pos="709"/>
              </w:tabs>
              <w:rPr>
                <w:szCs w:val="22"/>
              </w:rPr>
            </w:pPr>
            <w:r>
              <w:t>14 (10%)</w:t>
            </w:r>
          </w:p>
        </w:tc>
      </w:tr>
    </w:tbl>
    <w:p w:rsidR="001A6A64" w:rsidRDefault="00E26690" w:rsidP="007A20B3">
      <w:pPr>
        <w:tabs>
          <w:tab w:val="left" w:pos="709"/>
        </w:tabs>
        <w:rPr>
          <w:szCs w:val="22"/>
        </w:rPr>
      </w:pPr>
      <w:r>
        <w:t> </w:t>
      </w:r>
    </w:p>
    <w:p w:rsidR="001A6A64" w:rsidRDefault="00E26690" w:rsidP="007A20B3">
      <w:pPr>
        <w:tabs>
          <w:tab w:val="left" w:pos="709"/>
        </w:tabs>
        <w:rPr>
          <w:szCs w:val="22"/>
        </w:rPr>
      </w:pPr>
      <w:r>
        <w:t>Based on what we have heard through community feedback and consultation with local sporting groups in the area are now proposing the following:</w:t>
      </w:r>
    </w:p>
    <w:p w:rsidR="001A6A64" w:rsidRDefault="00E26690" w:rsidP="007A20B3">
      <w:pPr>
        <w:numPr>
          <w:ilvl w:val="0"/>
          <w:numId w:val="11"/>
        </w:numPr>
        <w:ind w:hanging="201"/>
        <w:rPr>
          <w:szCs w:val="22"/>
        </w:rPr>
      </w:pPr>
      <w:r>
        <w:t>Submitting a report to Council to declare St Clair Oval 4 and 3 to be made off leash reserves and St Clair Oval 2 as an on leash reserve.</w:t>
      </w:r>
    </w:p>
    <w:p w:rsidR="001A6A64" w:rsidRDefault="00E26690" w:rsidP="007A20B3">
      <w:pPr>
        <w:numPr>
          <w:ilvl w:val="0"/>
          <w:numId w:val="11"/>
        </w:numPr>
        <w:ind w:hanging="201"/>
        <w:rPr>
          <w:szCs w:val="22"/>
        </w:rPr>
      </w:pPr>
      <w:r>
        <w:t>Submitting a report for Council to further declare that during sporting activates all dogs to be on a lead in all reserve areas.</w:t>
      </w:r>
    </w:p>
    <w:p w:rsidR="001A6A64" w:rsidRDefault="00E26690" w:rsidP="007A20B3">
      <w:pPr>
        <w:tabs>
          <w:tab w:val="left" w:pos="709"/>
        </w:tabs>
        <w:rPr>
          <w:szCs w:val="22"/>
        </w:rPr>
      </w:pPr>
      <w:r>
        <w:t>Although survey results do favour a marginal greater support for dogs on lead for St Clair Oval 3, taking into consideration that this reserve is not separated from St Clair Oval 4 by a physical barrier such as a fence it would make education of the requirements and enforcement very difficult. It is therefore concluded in consultation with local community sporting groups that Oval 2 would be more suitable as a dog on lead space due to it being primarily used by sporting groups and local schools for sporting activities.</w:t>
      </w:r>
    </w:p>
    <w:p w:rsidR="001A6A64" w:rsidRDefault="00E26690" w:rsidP="007A20B3">
      <w:pPr>
        <w:tabs>
          <w:tab w:val="left" w:pos="709"/>
        </w:tabs>
        <w:rPr>
          <w:szCs w:val="22"/>
        </w:rPr>
      </w:pPr>
      <w:r>
        <w:t> </w:t>
      </w:r>
    </w:p>
    <w:p w:rsidR="001A6A64" w:rsidRDefault="00E26690" w:rsidP="007A20B3">
      <w:pPr>
        <w:tabs>
          <w:tab w:val="left" w:pos="709"/>
        </w:tabs>
        <w:rPr>
          <w:szCs w:val="22"/>
        </w:rPr>
      </w:pPr>
      <w:r>
        <w:t xml:space="preserve">These survey results and recommendations will be presented to Council for consideration at a meeting on </w:t>
      </w:r>
      <w:r w:rsidR="00341D66">
        <w:t>27</w:t>
      </w:r>
      <w:bookmarkStart w:id="8" w:name="_GoBack"/>
      <w:bookmarkEnd w:id="8"/>
      <w:r>
        <w:t xml:space="preserve"> November 2017. If you would like to make further comments in relation to this recommendation please e-mail </w:t>
      </w:r>
      <w:hyperlink r:id="rId8" w:history="1">
        <w:r>
          <w:rPr>
            <w:color w:val="0000FF"/>
            <w:u w:val="single"/>
          </w:rPr>
          <w:t>council@charlessturt.sa.gov.au</w:t>
        </w:r>
      </w:hyperlink>
      <w:r>
        <w:t xml:space="preserve"> or phone 8408 1111.</w:t>
      </w:r>
      <w:bookmarkEnd w:id="7"/>
    </w:p>
    <w:p w:rsidR="001A6A64" w:rsidRDefault="00341D66" w:rsidP="001A6A64"/>
    <w:p w:rsidR="001A6A64" w:rsidRDefault="00E26690" w:rsidP="001A6A64">
      <w:bookmarkStart w:id="9" w:name="SincerelyFaithfully"/>
      <w:r>
        <w:t>Yours sincerely</w:t>
      </w:r>
      <w:bookmarkEnd w:id="9"/>
    </w:p>
    <w:p w:rsidR="001A6A64" w:rsidRDefault="00341D66" w:rsidP="001A6A64"/>
    <w:p w:rsidR="001A6A64" w:rsidRDefault="00341D66" w:rsidP="001A6A64"/>
    <w:p w:rsidR="001A6A64" w:rsidRDefault="00341D66" w:rsidP="001A6A64"/>
    <w:p w:rsidR="001A6A64" w:rsidRDefault="00341D66" w:rsidP="001A6A64"/>
    <w:p w:rsidR="001A6A64" w:rsidRDefault="00341D66" w:rsidP="001A6A64"/>
    <w:p w:rsidR="001A6A64" w:rsidRPr="00CE1540" w:rsidRDefault="00E26690" w:rsidP="001A6A64">
      <w:bookmarkStart w:id="10" w:name="AuthorFullName"/>
      <w:r w:rsidRPr="00CE1540">
        <w:rPr>
          <w:b/>
        </w:rPr>
        <w:t>Dani Scuteri</w:t>
      </w:r>
      <w:bookmarkEnd w:id="10"/>
      <w:r>
        <w:rPr>
          <w:b/>
        </w:rPr>
        <w:t xml:space="preserve"> </w:t>
      </w:r>
      <w:bookmarkStart w:id="11" w:name="Signature"/>
      <w:bookmarkEnd w:id="11"/>
    </w:p>
    <w:p w:rsidR="001A6A64" w:rsidRPr="00CE1540" w:rsidRDefault="00E26690" w:rsidP="001A6A64">
      <w:bookmarkStart w:id="12" w:name="AuthorJobDescription"/>
      <w:r w:rsidRPr="00CE1540">
        <w:rPr>
          <w:b/>
        </w:rPr>
        <w:t>Project Officer - Public Health and Safety</w:t>
      </w:r>
      <w:bookmarkEnd w:id="12"/>
    </w:p>
    <w:p w:rsidR="001A6A64" w:rsidRDefault="00341D66" w:rsidP="001A6A64"/>
    <w:p w:rsidR="001A6A64" w:rsidRDefault="00E26690" w:rsidP="001A6A64">
      <w:r>
        <w:t xml:space="preserve"> </w:t>
      </w:r>
    </w:p>
    <w:p w:rsidR="001A6A64" w:rsidRDefault="00341D66" w:rsidP="001A6A64"/>
    <w:p w:rsidR="001A6A64" w:rsidRDefault="00341D66" w:rsidP="001A6A64"/>
    <w:p w:rsidR="00A07826" w:rsidRPr="001A6A64" w:rsidRDefault="00341D66" w:rsidP="001A6A64"/>
    <w:sectPr w:rsidR="00A07826" w:rsidRPr="001A6A64" w:rsidSect="00286406">
      <w:headerReference w:type="even" r:id="rId9"/>
      <w:headerReference w:type="first" r:id="rId10"/>
      <w:footerReference w:type="first" r:id="rId11"/>
      <w:pgSz w:w="11906" w:h="16838" w:code="9"/>
      <w:pgMar w:top="2381" w:right="1644" w:bottom="1418" w:left="1797"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0D" w:rsidRDefault="00E26690">
      <w:r>
        <w:separator/>
      </w:r>
    </w:p>
  </w:endnote>
  <w:endnote w:type="continuationSeparator" w:id="0">
    <w:p w:rsidR="00C3450D" w:rsidRDefault="00E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23" w:rsidRDefault="00E26690" w:rsidP="004F5C23">
    <w:pPr>
      <w:pStyle w:val="Footer"/>
    </w:pPr>
    <w:bookmarkStart w:id="13" w:name="Trim_Record_Number"/>
    <w:r>
      <w:t>17/362997</w:t>
    </w:r>
    <w:bookmarkEnd w:id="13"/>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0D" w:rsidRDefault="00E26690">
      <w:r>
        <w:separator/>
      </w:r>
    </w:p>
  </w:footnote>
  <w:footnote w:type="continuationSeparator" w:id="0">
    <w:p w:rsidR="00C3450D" w:rsidRDefault="00E2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23" w:rsidRDefault="00E26690" w:rsidP="004F5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C23" w:rsidRDefault="0034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B" w:rsidRDefault="00341D66" w:rsidP="006771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C2FA00"/>
    <w:lvl w:ilvl="0">
      <w:start w:val="1"/>
      <w:numFmt w:val="decimal"/>
      <w:lvlText w:val="%1."/>
      <w:lvlJc w:val="left"/>
      <w:pPr>
        <w:tabs>
          <w:tab w:val="num" w:pos="1492"/>
        </w:tabs>
        <w:ind w:left="1492" w:hanging="360"/>
      </w:pPr>
    </w:lvl>
  </w:abstractNum>
  <w:abstractNum w:abstractNumId="1">
    <w:nsid w:val="FFFFFF7D"/>
    <w:multiLevelType w:val="singleLevel"/>
    <w:tmpl w:val="CF0232B2"/>
    <w:lvl w:ilvl="0">
      <w:start w:val="1"/>
      <w:numFmt w:val="decimal"/>
      <w:lvlText w:val="%1."/>
      <w:lvlJc w:val="left"/>
      <w:pPr>
        <w:tabs>
          <w:tab w:val="num" w:pos="1209"/>
        </w:tabs>
        <w:ind w:left="1209" w:hanging="360"/>
      </w:pPr>
    </w:lvl>
  </w:abstractNum>
  <w:abstractNum w:abstractNumId="2">
    <w:nsid w:val="FFFFFF7E"/>
    <w:multiLevelType w:val="singleLevel"/>
    <w:tmpl w:val="0442D586"/>
    <w:lvl w:ilvl="0">
      <w:start w:val="1"/>
      <w:numFmt w:val="decimal"/>
      <w:lvlText w:val="%1."/>
      <w:lvlJc w:val="left"/>
      <w:pPr>
        <w:tabs>
          <w:tab w:val="num" w:pos="926"/>
        </w:tabs>
        <w:ind w:left="926" w:hanging="360"/>
      </w:pPr>
    </w:lvl>
  </w:abstractNum>
  <w:abstractNum w:abstractNumId="3">
    <w:nsid w:val="FFFFFF7F"/>
    <w:multiLevelType w:val="singleLevel"/>
    <w:tmpl w:val="DD2CA4A6"/>
    <w:lvl w:ilvl="0">
      <w:start w:val="1"/>
      <w:numFmt w:val="decimal"/>
      <w:lvlText w:val="%1."/>
      <w:lvlJc w:val="left"/>
      <w:pPr>
        <w:tabs>
          <w:tab w:val="num" w:pos="643"/>
        </w:tabs>
        <w:ind w:left="643" w:hanging="360"/>
      </w:pPr>
    </w:lvl>
  </w:abstractNum>
  <w:abstractNum w:abstractNumId="4">
    <w:nsid w:val="FFFFFF80"/>
    <w:multiLevelType w:val="singleLevel"/>
    <w:tmpl w:val="D78CC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B41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A41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4E24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88C82E"/>
    <w:lvl w:ilvl="0">
      <w:start w:val="1"/>
      <w:numFmt w:val="decimal"/>
      <w:lvlText w:val="%1."/>
      <w:lvlJc w:val="left"/>
      <w:pPr>
        <w:tabs>
          <w:tab w:val="num" w:pos="360"/>
        </w:tabs>
        <w:ind w:left="360" w:hanging="360"/>
      </w:pPr>
    </w:lvl>
  </w:abstractNum>
  <w:abstractNum w:abstractNumId="9">
    <w:nsid w:val="FFFFFF89"/>
    <w:multiLevelType w:val="singleLevel"/>
    <w:tmpl w:val="278A3F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2DC2F280">
      <w:start w:val="1"/>
      <w:numFmt w:val="bullet"/>
      <w:lvlText w:val=""/>
      <w:lvlJc w:val="left"/>
      <w:pPr>
        <w:ind w:left="720" w:hanging="360"/>
      </w:pPr>
      <w:rPr>
        <w:rFonts w:ascii="Symbol" w:hAnsi="Symbol"/>
      </w:rPr>
    </w:lvl>
    <w:lvl w:ilvl="1" w:tplc="AF40D97E">
      <w:start w:val="1"/>
      <w:numFmt w:val="bullet"/>
      <w:lvlText w:val="o"/>
      <w:lvlJc w:val="left"/>
      <w:pPr>
        <w:tabs>
          <w:tab w:val="num" w:pos="1440"/>
        </w:tabs>
        <w:ind w:left="1440" w:hanging="360"/>
      </w:pPr>
      <w:rPr>
        <w:rFonts w:ascii="Courier New" w:hAnsi="Courier New"/>
      </w:rPr>
    </w:lvl>
    <w:lvl w:ilvl="2" w:tplc="4AD2DA80">
      <w:start w:val="1"/>
      <w:numFmt w:val="bullet"/>
      <w:lvlText w:val=""/>
      <w:lvlJc w:val="left"/>
      <w:pPr>
        <w:tabs>
          <w:tab w:val="num" w:pos="2160"/>
        </w:tabs>
        <w:ind w:left="2160" w:hanging="360"/>
      </w:pPr>
      <w:rPr>
        <w:rFonts w:ascii="Wingdings" w:hAnsi="Wingdings"/>
      </w:rPr>
    </w:lvl>
    <w:lvl w:ilvl="3" w:tplc="F4BA1606">
      <w:start w:val="1"/>
      <w:numFmt w:val="bullet"/>
      <w:lvlText w:val=""/>
      <w:lvlJc w:val="left"/>
      <w:pPr>
        <w:tabs>
          <w:tab w:val="num" w:pos="2880"/>
        </w:tabs>
        <w:ind w:left="2880" w:hanging="360"/>
      </w:pPr>
      <w:rPr>
        <w:rFonts w:ascii="Symbol" w:hAnsi="Symbol"/>
      </w:rPr>
    </w:lvl>
    <w:lvl w:ilvl="4" w:tplc="5CEE6930">
      <w:start w:val="1"/>
      <w:numFmt w:val="bullet"/>
      <w:lvlText w:val="o"/>
      <w:lvlJc w:val="left"/>
      <w:pPr>
        <w:tabs>
          <w:tab w:val="num" w:pos="3600"/>
        </w:tabs>
        <w:ind w:left="3600" w:hanging="360"/>
      </w:pPr>
      <w:rPr>
        <w:rFonts w:ascii="Courier New" w:hAnsi="Courier New"/>
      </w:rPr>
    </w:lvl>
    <w:lvl w:ilvl="5" w:tplc="ECA40E2A">
      <w:start w:val="1"/>
      <w:numFmt w:val="bullet"/>
      <w:lvlText w:val=""/>
      <w:lvlJc w:val="left"/>
      <w:pPr>
        <w:tabs>
          <w:tab w:val="num" w:pos="4320"/>
        </w:tabs>
        <w:ind w:left="4320" w:hanging="360"/>
      </w:pPr>
      <w:rPr>
        <w:rFonts w:ascii="Wingdings" w:hAnsi="Wingdings"/>
      </w:rPr>
    </w:lvl>
    <w:lvl w:ilvl="6" w:tplc="C366D194">
      <w:start w:val="1"/>
      <w:numFmt w:val="bullet"/>
      <w:lvlText w:val=""/>
      <w:lvlJc w:val="left"/>
      <w:pPr>
        <w:tabs>
          <w:tab w:val="num" w:pos="5040"/>
        </w:tabs>
        <w:ind w:left="5040" w:hanging="360"/>
      </w:pPr>
      <w:rPr>
        <w:rFonts w:ascii="Symbol" w:hAnsi="Symbol"/>
      </w:rPr>
    </w:lvl>
    <w:lvl w:ilvl="7" w:tplc="CF800054">
      <w:start w:val="1"/>
      <w:numFmt w:val="bullet"/>
      <w:lvlText w:val="o"/>
      <w:lvlJc w:val="left"/>
      <w:pPr>
        <w:tabs>
          <w:tab w:val="num" w:pos="5760"/>
        </w:tabs>
        <w:ind w:left="5760" w:hanging="360"/>
      </w:pPr>
      <w:rPr>
        <w:rFonts w:ascii="Courier New" w:hAnsi="Courier New"/>
      </w:rPr>
    </w:lvl>
    <w:lvl w:ilvl="8" w:tplc="FA8EAE98">
      <w:start w:val="1"/>
      <w:numFmt w:val="bullet"/>
      <w:lvlText w:val=""/>
      <w:lvlJc w:val="left"/>
      <w:pPr>
        <w:tabs>
          <w:tab w:val="num" w:pos="6480"/>
        </w:tabs>
        <w:ind w:left="6480" w:hanging="360"/>
      </w:pPr>
      <w:rPr>
        <w:rFonts w:ascii="Wingdings" w:hAnsi="Wingdings"/>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A3"/>
    <w:rsid w:val="00341D66"/>
    <w:rsid w:val="006A04A3"/>
    <w:rsid w:val="00C3450D"/>
    <w:rsid w:val="00E2669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7E2"/>
    <w:rPr>
      <w:rFonts w:ascii="Calibri" w:hAnsi="Calibri"/>
      <w:sz w:val="22"/>
      <w:szCs w:val="24"/>
    </w:rPr>
  </w:style>
  <w:style w:type="paragraph" w:styleId="Heading1">
    <w:name w:val="heading 1"/>
    <w:basedOn w:val="Normal"/>
    <w:next w:val="Normal"/>
    <w:qFormat/>
    <w:rsid w:val="000A1390"/>
    <w:pPr>
      <w:keepNext/>
      <w:outlineLvl w:val="0"/>
    </w:pPr>
    <w:rPr>
      <w:rFonts w:cs="Arial"/>
      <w:b/>
      <w:bCs/>
      <w:kern w:val="32"/>
      <w:sz w:val="40"/>
      <w:szCs w:val="32"/>
    </w:rPr>
  </w:style>
  <w:style w:type="paragraph" w:styleId="Heading2">
    <w:name w:val="heading 2"/>
    <w:basedOn w:val="Normal"/>
    <w:next w:val="Normal"/>
    <w:qFormat/>
    <w:rsid w:val="000A1390"/>
    <w:pPr>
      <w:keepNext/>
      <w:outlineLvl w:val="1"/>
    </w:pPr>
    <w:rPr>
      <w:rFonts w:cs="Arial"/>
      <w:b/>
      <w:bCs/>
      <w:iCs/>
      <w:sz w:val="26"/>
      <w:szCs w:val="28"/>
    </w:rPr>
  </w:style>
  <w:style w:type="paragraph" w:styleId="Heading3">
    <w:name w:val="heading 3"/>
    <w:basedOn w:val="Normal"/>
    <w:next w:val="Normal"/>
    <w:qFormat/>
    <w:rsid w:val="000A139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37E2"/>
    <w:pPr>
      <w:framePr w:w="7920" w:h="1980" w:hRule="exact" w:hSpace="180" w:wrap="auto" w:hAnchor="page" w:xAlign="center" w:yAlign="bottom"/>
      <w:ind w:left="2880"/>
    </w:pPr>
    <w:rPr>
      <w:rFonts w:cs="Arial"/>
      <w:sz w:val="24"/>
    </w:rPr>
  </w:style>
  <w:style w:type="paragraph" w:styleId="EnvelopeReturn">
    <w:name w:val="envelope return"/>
    <w:basedOn w:val="Normal"/>
    <w:rsid w:val="005F37E2"/>
    <w:rPr>
      <w:rFonts w:cs="Arial"/>
      <w:sz w:val="20"/>
      <w:szCs w:val="20"/>
    </w:rPr>
  </w:style>
  <w:style w:type="paragraph" w:styleId="Header">
    <w:name w:val="header"/>
    <w:basedOn w:val="Normal"/>
    <w:rsid w:val="00721A07"/>
    <w:pPr>
      <w:tabs>
        <w:tab w:val="center" w:pos="4153"/>
        <w:tab w:val="right" w:pos="8306"/>
      </w:tabs>
    </w:pPr>
  </w:style>
  <w:style w:type="paragraph" w:styleId="Footer">
    <w:name w:val="footer"/>
    <w:basedOn w:val="Normal"/>
    <w:rsid w:val="008736AA"/>
    <w:pPr>
      <w:tabs>
        <w:tab w:val="center" w:pos="4153"/>
        <w:tab w:val="right" w:pos="8306"/>
      </w:tabs>
    </w:pPr>
    <w:rPr>
      <w:sz w:val="16"/>
    </w:rPr>
  </w:style>
  <w:style w:type="character" w:styleId="PageNumber">
    <w:name w:val="page number"/>
    <w:rsid w:val="00286406"/>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7E2"/>
    <w:rPr>
      <w:rFonts w:ascii="Calibri" w:hAnsi="Calibri"/>
      <w:sz w:val="22"/>
      <w:szCs w:val="24"/>
    </w:rPr>
  </w:style>
  <w:style w:type="paragraph" w:styleId="Heading1">
    <w:name w:val="heading 1"/>
    <w:basedOn w:val="Normal"/>
    <w:next w:val="Normal"/>
    <w:qFormat/>
    <w:rsid w:val="000A1390"/>
    <w:pPr>
      <w:keepNext/>
      <w:outlineLvl w:val="0"/>
    </w:pPr>
    <w:rPr>
      <w:rFonts w:cs="Arial"/>
      <w:b/>
      <w:bCs/>
      <w:kern w:val="32"/>
      <w:sz w:val="40"/>
      <w:szCs w:val="32"/>
    </w:rPr>
  </w:style>
  <w:style w:type="paragraph" w:styleId="Heading2">
    <w:name w:val="heading 2"/>
    <w:basedOn w:val="Normal"/>
    <w:next w:val="Normal"/>
    <w:qFormat/>
    <w:rsid w:val="000A1390"/>
    <w:pPr>
      <w:keepNext/>
      <w:outlineLvl w:val="1"/>
    </w:pPr>
    <w:rPr>
      <w:rFonts w:cs="Arial"/>
      <w:b/>
      <w:bCs/>
      <w:iCs/>
      <w:sz w:val="26"/>
      <w:szCs w:val="28"/>
    </w:rPr>
  </w:style>
  <w:style w:type="paragraph" w:styleId="Heading3">
    <w:name w:val="heading 3"/>
    <w:basedOn w:val="Normal"/>
    <w:next w:val="Normal"/>
    <w:qFormat/>
    <w:rsid w:val="000A139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37E2"/>
    <w:pPr>
      <w:framePr w:w="7920" w:h="1980" w:hRule="exact" w:hSpace="180" w:wrap="auto" w:hAnchor="page" w:xAlign="center" w:yAlign="bottom"/>
      <w:ind w:left="2880"/>
    </w:pPr>
    <w:rPr>
      <w:rFonts w:cs="Arial"/>
      <w:sz w:val="24"/>
    </w:rPr>
  </w:style>
  <w:style w:type="paragraph" w:styleId="EnvelopeReturn">
    <w:name w:val="envelope return"/>
    <w:basedOn w:val="Normal"/>
    <w:rsid w:val="005F37E2"/>
    <w:rPr>
      <w:rFonts w:cs="Arial"/>
      <w:sz w:val="20"/>
      <w:szCs w:val="20"/>
    </w:rPr>
  </w:style>
  <w:style w:type="paragraph" w:styleId="Header">
    <w:name w:val="header"/>
    <w:basedOn w:val="Normal"/>
    <w:rsid w:val="00721A07"/>
    <w:pPr>
      <w:tabs>
        <w:tab w:val="center" w:pos="4153"/>
        <w:tab w:val="right" w:pos="8306"/>
      </w:tabs>
    </w:pPr>
  </w:style>
  <w:style w:type="paragraph" w:styleId="Footer">
    <w:name w:val="footer"/>
    <w:basedOn w:val="Normal"/>
    <w:rsid w:val="008736AA"/>
    <w:pPr>
      <w:tabs>
        <w:tab w:val="center" w:pos="4153"/>
        <w:tab w:val="right" w:pos="8306"/>
      </w:tabs>
    </w:pPr>
    <w:rPr>
      <w:sz w:val="16"/>
    </w:rPr>
  </w:style>
  <w:style w:type="character" w:styleId="PageNumber">
    <w:name w:val="page number"/>
    <w:rsid w:val="00286406"/>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uncil@charlessturt.s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504091C0</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 Template - Admin, Property &amp; Street</vt:lpstr>
    </vt:vector>
  </TitlesOfParts>
  <Company>City of Charles Sturt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Template - Admin, Property &amp; Street</dc:title>
  <dc:creator>Dani Scuteri</dc:creator>
  <cp:lastModifiedBy>City of Charles Sturt</cp:lastModifiedBy>
  <cp:revision>3</cp:revision>
  <dcterms:created xsi:type="dcterms:W3CDTF">2017-11-10T04:33:00Z</dcterms:created>
  <dcterms:modified xsi:type="dcterms:W3CDTF">2017-11-14T05:50:00Z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